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A79050" w:rsidP="252C0219" w:rsidRDefault="01A79050" w14:paraId="12581383" w14:textId="1016B846">
      <w:pPr>
        <w:spacing w:after="0" w:afterAutospacing="off" w:line="240" w:lineRule="auto"/>
        <w:jc w:val="center"/>
        <w:rPr>
          <w:b w:val="1"/>
          <w:bCs w:val="1"/>
          <w:color w:val="FF0000"/>
          <w:sz w:val="24"/>
          <w:szCs w:val="24"/>
        </w:rPr>
      </w:pPr>
      <w:r w:rsidRPr="0AA44229" w:rsidR="3DA3837A">
        <w:rPr>
          <w:b w:val="1"/>
          <w:bCs w:val="1"/>
          <w:color w:val="FF0000"/>
          <w:sz w:val="24"/>
          <w:szCs w:val="24"/>
        </w:rPr>
        <w:t>Temporary accommodation – How can we best work with external providers</w:t>
      </w:r>
      <w:r w:rsidRPr="0AA44229" w:rsidR="219F7CCD">
        <w:rPr>
          <w:b w:val="1"/>
          <w:bCs w:val="1"/>
          <w:color w:val="FF0000"/>
          <w:sz w:val="24"/>
          <w:szCs w:val="24"/>
        </w:rPr>
        <w:t xml:space="preserve"> </w:t>
      </w:r>
      <w:r w:rsidRPr="0AA44229" w:rsidR="4F5D2F03">
        <w:rPr>
          <w:b w:val="1"/>
          <w:bCs w:val="1"/>
          <w:color w:val="FF0000"/>
          <w:sz w:val="24"/>
          <w:szCs w:val="24"/>
        </w:rPr>
        <w:t xml:space="preserve">– </w:t>
      </w:r>
      <w:r w:rsidRPr="0AA44229" w:rsidR="6590CC79">
        <w:rPr>
          <w:b w:val="1"/>
          <w:bCs w:val="1"/>
          <w:color w:val="FF0000"/>
          <w:sz w:val="24"/>
          <w:szCs w:val="24"/>
        </w:rPr>
        <w:t>p</w:t>
      </w:r>
      <w:r w:rsidRPr="0AA44229" w:rsidR="4F5D2F03">
        <w:rPr>
          <w:b w:val="1"/>
          <w:bCs w:val="1"/>
          <w:color w:val="FF0000"/>
          <w:sz w:val="24"/>
          <w:szCs w:val="24"/>
        </w:rPr>
        <w:t xml:space="preserve">ractice </w:t>
      </w:r>
      <w:r w:rsidRPr="0AA44229" w:rsidR="337686AB">
        <w:rPr>
          <w:b w:val="1"/>
          <w:bCs w:val="1"/>
          <w:color w:val="FF0000"/>
          <w:sz w:val="24"/>
          <w:szCs w:val="24"/>
        </w:rPr>
        <w:t>e</w:t>
      </w:r>
      <w:r w:rsidRPr="0AA44229" w:rsidR="4F5D2F03">
        <w:rPr>
          <w:b w:val="1"/>
          <w:bCs w:val="1"/>
          <w:color w:val="FF0000"/>
          <w:sz w:val="24"/>
          <w:szCs w:val="24"/>
        </w:rPr>
        <w:t xml:space="preserve">xchange </w:t>
      </w:r>
      <w:r w:rsidRPr="0AA44229" w:rsidR="52D76C38">
        <w:rPr>
          <w:b w:val="1"/>
          <w:bCs w:val="1"/>
          <w:color w:val="FF0000"/>
          <w:sz w:val="24"/>
          <w:szCs w:val="24"/>
        </w:rPr>
        <w:t>pre-read</w:t>
      </w:r>
      <w:r w:rsidRPr="0AA44229" w:rsidR="4F5D2F03">
        <w:rPr>
          <w:b w:val="1"/>
          <w:bCs w:val="1"/>
          <w:color w:val="FF0000"/>
          <w:sz w:val="24"/>
          <w:szCs w:val="24"/>
        </w:rPr>
        <w:t xml:space="preserve"> </w:t>
      </w:r>
      <w:r w:rsidRPr="0AA44229" w:rsidR="307668E9">
        <w:rPr>
          <w:b w:val="1"/>
          <w:bCs w:val="1"/>
          <w:color w:val="FF0000"/>
          <w:sz w:val="24"/>
          <w:szCs w:val="24"/>
        </w:rPr>
        <w:t>2</w:t>
      </w:r>
      <w:r w:rsidRPr="0AA44229" w:rsidR="71ACA998">
        <w:rPr>
          <w:b w:val="1"/>
          <w:bCs w:val="1"/>
          <w:color w:val="FF0000"/>
          <w:sz w:val="24"/>
          <w:szCs w:val="24"/>
        </w:rPr>
        <w:t>8</w:t>
      </w:r>
      <w:r w:rsidRPr="0AA44229" w:rsidR="57DBA969">
        <w:rPr>
          <w:b w:val="1"/>
          <w:bCs w:val="1"/>
          <w:color w:val="FF0000"/>
          <w:sz w:val="24"/>
          <w:szCs w:val="24"/>
        </w:rPr>
        <w:t>/0</w:t>
      </w:r>
      <w:r w:rsidRPr="0AA44229" w:rsidR="799ABB64">
        <w:rPr>
          <w:b w:val="1"/>
          <w:bCs w:val="1"/>
          <w:color w:val="FF0000"/>
          <w:sz w:val="24"/>
          <w:szCs w:val="24"/>
        </w:rPr>
        <w:t>9</w:t>
      </w:r>
      <w:r w:rsidRPr="0AA44229" w:rsidR="4F5D2F03">
        <w:rPr>
          <w:b w:val="1"/>
          <w:bCs w:val="1"/>
          <w:color w:val="FF0000"/>
          <w:sz w:val="24"/>
          <w:szCs w:val="24"/>
        </w:rPr>
        <w:t>/2021</w:t>
      </w:r>
    </w:p>
    <w:p w:rsidR="26248F25" w:rsidP="252C0219" w:rsidRDefault="26248F25" w14:paraId="5713D3FB" w14:textId="7C425E6C">
      <w:pPr>
        <w:pStyle w:val="Normal"/>
        <w:spacing w:after="0" w:afterAutospacing="off" w:line="240" w:lineRule="auto"/>
        <w:ind/>
        <w:jc w:val="center"/>
        <w:rPr>
          <w:b w:val="1"/>
          <w:bCs w:val="1"/>
          <w:color w:val="FF0000"/>
          <w:sz w:val="24"/>
          <w:szCs w:val="24"/>
        </w:rPr>
      </w:pPr>
    </w:p>
    <w:p w:rsidR="26248F25" w:rsidP="252C0219" w:rsidRDefault="26248F25" w14:paraId="036D1CF4" w14:textId="1874C760">
      <w:pPr>
        <w:pStyle w:val="Normal"/>
        <w:spacing w:after="0" w:afterAutospacing="off" w:line="240" w:lineRule="auto"/>
        <w:ind/>
        <w:jc w:val="center"/>
        <w:rPr>
          <w:b w:val="1"/>
          <w:bCs w:val="1"/>
          <w:color w:val="FF0000"/>
          <w:sz w:val="24"/>
          <w:szCs w:val="24"/>
        </w:rPr>
      </w:pPr>
    </w:p>
    <w:p w:rsidR="496C0E66" w:rsidP="0AA44229" w:rsidRDefault="496C0E66" w14:paraId="16EA46A8" w14:textId="1CF8040E">
      <w:pPr>
        <w:pStyle w:val="Normal"/>
        <w:spacing w:after="0" w:afterAutospacing="off" w:line="240" w:lineRule="auto"/>
        <w:jc w:val="both"/>
        <w:rPr>
          <w:b w:val="1"/>
          <w:bCs w:val="1"/>
          <w:color w:val="FF0000"/>
          <w:sz w:val="24"/>
          <w:szCs w:val="24"/>
        </w:rPr>
      </w:pPr>
      <w:r w:rsidRPr="0AA44229" w:rsidR="496C0E66">
        <w:rPr>
          <w:b w:val="1"/>
          <w:bCs w:val="1"/>
          <w:color w:val="FF0000"/>
          <w:sz w:val="24"/>
          <w:szCs w:val="24"/>
        </w:rPr>
        <w:t xml:space="preserve">The historic figures </w:t>
      </w:r>
    </w:p>
    <w:p w:rsidR="0AA44229" w:rsidP="0AA44229" w:rsidRDefault="0AA44229" w14:paraId="337A0248" w14:textId="44F2D1F0">
      <w:pPr>
        <w:pStyle w:val="Normal"/>
        <w:spacing w:after="0" w:afterAutospacing="off" w:line="240" w:lineRule="auto"/>
        <w:jc w:val="both"/>
        <w:rPr>
          <w:b w:val="0"/>
          <w:bCs w:val="0"/>
          <w:color w:val="auto"/>
          <w:sz w:val="24"/>
          <w:szCs w:val="24"/>
        </w:rPr>
      </w:pPr>
    </w:p>
    <w:p w:rsidR="09572CA5" w:rsidP="0AA44229" w:rsidRDefault="09572CA5" w14:paraId="1B3F429A" w14:textId="5199F57B">
      <w:pPr>
        <w:pStyle w:val="Normal"/>
        <w:spacing w:after="0" w:afterAutospacing="off" w:line="240" w:lineRule="auto"/>
        <w:jc w:val="both"/>
        <w:rPr>
          <w:b w:val="0"/>
          <w:bCs w:val="0"/>
          <w:color w:val="auto"/>
          <w:sz w:val="24"/>
          <w:szCs w:val="24"/>
        </w:rPr>
      </w:pPr>
      <w:r w:rsidRPr="0AA44229" w:rsidR="09572CA5">
        <w:rPr>
          <w:b w:val="0"/>
          <w:bCs w:val="0"/>
          <w:color w:val="auto"/>
          <w:sz w:val="24"/>
          <w:szCs w:val="24"/>
        </w:rPr>
        <w:t xml:space="preserve">Official statistics published in December 2011 marked the end of the long-term downward trend in the number of households in temporary accommodation; </w:t>
      </w:r>
      <w:proofErr w:type="gramStart"/>
      <w:r w:rsidRPr="0AA44229" w:rsidR="09572CA5">
        <w:rPr>
          <w:b w:val="0"/>
          <w:bCs w:val="0"/>
          <w:color w:val="auto"/>
          <w:sz w:val="24"/>
          <w:szCs w:val="24"/>
        </w:rPr>
        <w:t>seasonally-adjusted</w:t>
      </w:r>
      <w:proofErr w:type="gramEnd"/>
      <w:r w:rsidRPr="0AA44229" w:rsidR="09572CA5">
        <w:rPr>
          <w:b w:val="0"/>
          <w:bCs w:val="0"/>
          <w:color w:val="auto"/>
          <w:sz w:val="24"/>
          <w:szCs w:val="24"/>
        </w:rPr>
        <w:t xml:space="preserve"> figures had fallen in each successive quarter since peaking in 2004. By the end of March 2021, there were 95,450 households in temporary accommodation, a rise of 3.5% on 31 March 2020. This rise was primarily driven by an increase in single adult households placed in temporary accommodation during the Covid-19 pandemic.</w:t>
      </w:r>
    </w:p>
    <w:p w:rsidR="0AA44229" w:rsidP="0AA44229" w:rsidRDefault="0AA44229" w14:paraId="69B33C44" w14:textId="499C8A05">
      <w:pPr>
        <w:pStyle w:val="Normal"/>
        <w:spacing w:after="0" w:afterAutospacing="off" w:line="240" w:lineRule="auto"/>
        <w:jc w:val="both"/>
        <w:rPr>
          <w:b w:val="0"/>
          <w:bCs w:val="0"/>
          <w:color w:val="auto"/>
          <w:sz w:val="24"/>
          <w:szCs w:val="24"/>
        </w:rPr>
      </w:pPr>
    </w:p>
    <w:p w:rsidR="09572CA5" w:rsidP="0AA44229" w:rsidRDefault="09572CA5" w14:paraId="2793A348" w14:textId="740F02CA">
      <w:pPr>
        <w:pStyle w:val="Normal"/>
        <w:spacing w:after="0" w:afterAutospacing="off" w:line="240" w:lineRule="auto"/>
        <w:jc w:val="both"/>
        <w:rPr>
          <w:b w:val="0"/>
          <w:bCs w:val="0"/>
          <w:color w:val="auto"/>
          <w:sz w:val="24"/>
          <w:szCs w:val="24"/>
        </w:rPr>
      </w:pPr>
      <w:r w:rsidRPr="0AA44229" w:rsidR="09572CA5">
        <w:rPr>
          <w:b w:val="0"/>
          <w:bCs w:val="0"/>
          <w:color w:val="auto"/>
          <w:sz w:val="24"/>
          <w:szCs w:val="24"/>
        </w:rPr>
        <w:t>Of the 95,450 households in temporary accommodation on 31 March 2021, 61.9% included dependent children. A total of 119,830 children were placed in temporary accommodation. The number of families with dependent children placed in B&amp;B-style accommodation increased from 630 at the end of March 2010 to 1,350 at the end of March 2021, although this figure represents a decrease of 11.8% on the end of March 2020.</w:t>
      </w:r>
    </w:p>
    <w:p w:rsidR="0AA44229" w:rsidP="0AA44229" w:rsidRDefault="0AA44229" w14:paraId="06A65182" w14:textId="4B1C09A1">
      <w:pPr>
        <w:pStyle w:val="Normal"/>
        <w:spacing w:after="0" w:afterAutospacing="off" w:line="240" w:lineRule="auto"/>
        <w:jc w:val="both"/>
        <w:rPr>
          <w:b w:val="0"/>
          <w:bCs w:val="0"/>
          <w:color w:val="auto"/>
          <w:sz w:val="24"/>
          <w:szCs w:val="24"/>
        </w:rPr>
      </w:pPr>
    </w:p>
    <w:p w:rsidR="0CF3ECB7" w:rsidP="0AA44229" w:rsidRDefault="0CF3ECB7" w14:paraId="096E4D88" w14:textId="514D774F">
      <w:pPr>
        <w:pStyle w:val="Normal"/>
        <w:spacing w:after="0" w:afterAutospacing="off" w:line="240" w:lineRule="auto"/>
        <w:jc w:val="both"/>
        <w:rPr>
          <w:b w:val="0"/>
          <w:bCs w:val="0"/>
          <w:color w:val="auto"/>
          <w:sz w:val="24"/>
          <w:szCs w:val="24"/>
        </w:rPr>
      </w:pPr>
      <w:r w:rsidRPr="0AA44229" w:rsidR="0CF3ECB7">
        <w:rPr>
          <w:b w:val="0"/>
          <w:bCs w:val="0"/>
          <w:color w:val="auto"/>
          <w:sz w:val="24"/>
          <w:szCs w:val="24"/>
        </w:rPr>
        <w:t xml:space="preserve">Many local authorities </w:t>
      </w:r>
      <w:r w:rsidRPr="0AA44229" w:rsidR="0CF3ECB7">
        <w:rPr>
          <w:b w:val="0"/>
          <w:bCs w:val="0"/>
          <w:color w:val="auto"/>
          <w:sz w:val="24"/>
          <w:szCs w:val="24"/>
        </w:rPr>
        <w:t>seek</w:t>
      </w:r>
      <w:r w:rsidRPr="0AA44229" w:rsidR="0CF3ECB7">
        <w:rPr>
          <w:b w:val="0"/>
          <w:bCs w:val="0"/>
          <w:color w:val="auto"/>
          <w:sz w:val="24"/>
          <w:szCs w:val="24"/>
        </w:rPr>
        <w:t xml:space="preserve"> temporary accommodation outside their own areas. At the end of March 2021, 26,170 (27.4%) of households in temporary accommodation were in accommodation in a different local authority district. 82% of these placements were from London authorities.</w:t>
      </w:r>
    </w:p>
    <w:p w:rsidR="0AA44229" w:rsidP="0AA44229" w:rsidRDefault="0AA44229" w14:paraId="7C3FCB17" w14:textId="64003E1C">
      <w:pPr>
        <w:pStyle w:val="Normal"/>
        <w:spacing w:after="0" w:afterAutospacing="off" w:line="240" w:lineRule="auto"/>
        <w:jc w:val="both"/>
        <w:rPr>
          <w:b w:val="0"/>
          <w:bCs w:val="0"/>
          <w:color w:val="FF0000"/>
          <w:sz w:val="24"/>
          <w:szCs w:val="24"/>
        </w:rPr>
      </w:pPr>
    </w:p>
    <w:p w:rsidR="26248F25" w:rsidP="22490251" w:rsidRDefault="26248F25" w14:paraId="1F8585D1" w14:textId="36C5E834">
      <w:pPr>
        <w:pStyle w:val="Normal"/>
        <w:spacing w:after="0" w:afterAutospacing="off" w:line="240" w:lineRule="auto"/>
        <w:ind/>
        <w:jc w:val="both"/>
        <w:rPr>
          <w:b w:val="1"/>
          <w:bCs w:val="1"/>
          <w:noProof w:val="0"/>
          <w:color w:val="FF0000"/>
          <w:sz w:val="24"/>
          <w:szCs w:val="24"/>
          <w:lang w:val="en-US"/>
        </w:rPr>
      </w:pPr>
      <w:r w:rsidRPr="0AA44229" w:rsidR="59553FDE">
        <w:rPr>
          <w:b w:val="1"/>
          <w:bCs w:val="1"/>
          <w:color w:val="FF0000"/>
          <w:sz w:val="24"/>
          <w:szCs w:val="24"/>
        </w:rPr>
        <w:t xml:space="preserve">The </w:t>
      </w:r>
      <w:r w:rsidRPr="0AA44229" w:rsidR="158C8696">
        <w:rPr>
          <w:b w:val="1"/>
          <w:bCs w:val="1"/>
          <w:color w:val="FF0000"/>
          <w:sz w:val="24"/>
          <w:szCs w:val="24"/>
        </w:rPr>
        <w:t>cost</w:t>
      </w:r>
    </w:p>
    <w:p w:rsidR="0AA44229" w:rsidP="0AA44229" w:rsidRDefault="0AA44229" w14:paraId="4A4887CE" w14:textId="451957FB">
      <w:pPr>
        <w:pStyle w:val="Normal"/>
        <w:spacing w:after="0" w:afterAutospacing="off" w:line="240" w:lineRule="auto"/>
        <w:jc w:val="both"/>
        <w:rPr>
          <w:b w:val="1"/>
          <w:bCs w:val="1"/>
          <w:color w:val="FF0000"/>
          <w:sz w:val="24"/>
          <w:szCs w:val="24"/>
        </w:rPr>
      </w:pPr>
    </w:p>
    <w:p w:rsidR="158C8696" w:rsidP="0AA44229" w:rsidRDefault="158C8696" w14:paraId="7F46752E" w14:textId="054C9D78">
      <w:pPr>
        <w:pStyle w:val="Normal"/>
        <w:spacing w:after="0" w:afterAutospacing="off" w:line="240" w:lineRule="auto"/>
        <w:jc w:val="both"/>
        <w:rPr>
          <w:b w:val="0"/>
          <w:bCs w:val="0"/>
          <w:color w:val="auto"/>
          <w:sz w:val="24"/>
          <w:szCs w:val="24"/>
        </w:rPr>
      </w:pPr>
      <w:r w:rsidRPr="0AA44229" w:rsidR="158C8696">
        <w:rPr>
          <w:b w:val="0"/>
          <w:bCs w:val="0"/>
          <w:color w:val="auto"/>
          <w:sz w:val="24"/>
          <w:szCs w:val="24"/>
        </w:rPr>
        <w:t>The National Audit Office (NAO) observed that of the £1.1bn spent by English local authorities in 2015-16, £845 million was spent on temporary accommodation, of which three-quarters (£638 million) was funded by housing benefit. The NAO identified a 39% increase in real terms expenditure on temporary accommodation since 2010-11.</w:t>
      </w:r>
    </w:p>
    <w:p w:rsidR="0AA44229" w:rsidP="0AA44229" w:rsidRDefault="0AA44229" w14:paraId="39D49E76" w14:textId="3CDEA0FB">
      <w:pPr>
        <w:pStyle w:val="Normal"/>
        <w:spacing w:after="0" w:afterAutospacing="off" w:line="240" w:lineRule="auto"/>
        <w:jc w:val="both"/>
        <w:rPr>
          <w:b w:val="0"/>
          <w:bCs w:val="0"/>
          <w:color w:val="auto"/>
          <w:sz w:val="24"/>
          <w:szCs w:val="24"/>
        </w:rPr>
      </w:pPr>
    </w:p>
    <w:p w:rsidR="158C8696" w:rsidP="0AA44229" w:rsidRDefault="158C8696" w14:paraId="461244A1" w14:textId="0B35DA7B">
      <w:pPr>
        <w:pStyle w:val="Normal"/>
        <w:spacing w:after="0" w:afterAutospacing="off" w:line="240" w:lineRule="auto"/>
        <w:jc w:val="both"/>
        <w:rPr>
          <w:b w:val="0"/>
          <w:bCs w:val="0"/>
          <w:color w:val="auto"/>
          <w:sz w:val="24"/>
          <w:szCs w:val="24"/>
        </w:rPr>
      </w:pPr>
      <w:r w:rsidRPr="0AA44229" w:rsidR="158C8696">
        <w:rPr>
          <w:b w:val="0"/>
          <w:bCs w:val="0"/>
          <w:color w:val="auto"/>
          <w:sz w:val="24"/>
          <w:szCs w:val="24"/>
        </w:rPr>
        <w:t>There are also wider costs stemming from the impact of homelessness and use of temporary accommodation which represent a cost to public services, such as health care. Criticism has been leveled at the government around lack of “a robust estimate of this wider cost” and called for joint working with local authorities “to ensure that they are making the most effective use of temporary accommodation.”</w:t>
      </w:r>
    </w:p>
    <w:p w:rsidR="0AA44229" w:rsidP="0AA44229" w:rsidRDefault="0AA44229" w14:paraId="29F7EE3E" w14:textId="4D55A900">
      <w:pPr>
        <w:pStyle w:val="Normal"/>
        <w:spacing w:after="0" w:afterAutospacing="off" w:line="240" w:lineRule="auto"/>
        <w:jc w:val="both"/>
        <w:rPr>
          <w:b w:val="0"/>
          <w:bCs w:val="0"/>
          <w:color w:val="auto"/>
          <w:sz w:val="24"/>
          <w:szCs w:val="24"/>
        </w:rPr>
      </w:pPr>
    </w:p>
    <w:p w:rsidR="158C8696" w:rsidP="0AA44229" w:rsidRDefault="158C8696" w14:paraId="72B72F63" w14:textId="363DA4AF">
      <w:pPr>
        <w:pStyle w:val="Normal"/>
        <w:spacing w:after="0" w:afterAutospacing="off" w:line="240" w:lineRule="auto"/>
        <w:jc w:val="both"/>
        <w:rPr>
          <w:b w:val="0"/>
          <w:bCs w:val="0"/>
          <w:color w:val="auto"/>
          <w:sz w:val="24"/>
          <w:szCs w:val="24"/>
        </w:rPr>
      </w:pPr>
      <w:hyperlink r:id="Rfbab27d8b5d54185">
        <w:r w:rsidRPr="0AA44229" w:rsidR="158C8696">
          <w:rPr>
            <w:rStyle w:val="Hyperlink"/>
            <w:b w:val="0"/>
            <w:bCs w:val="0"/>
            <w:sz w:val="24"/>
            <w:szCs w:val="24"/>
          </w:rPr>
          <w:t>More recent analysis of expenditure by local authorities over 2019/20</w:t>
        </w:r>
      </w:hyperlink>
      <w:r w:rsidRPr="0AA44229" w:rsidR="158C8696">
        <w:rPr>
          <w:b w:val="0"/>
          <w:bCs w:val="0"/>
          <w:color w:val="auto"/>
          <w:sz w:val="24"/>
          <w:szCs w:val="24"/>
        </w:rPr>
        <w:t xml:space="preserve"> reportedly showed that councils spent £1.19 billion on temporary accommodation, up 9% on the previous year and up 55% on 2014/15.</w:t>
      </w:r>
    </w:p>
    <w:p w:rsidR="0AA44229" w:rsidP="0AA44229" w:rsidRDefault="0AA44229" w14:paraId="4FF7199D" w14:textId="28ACFD8D">
      <w:pPr>
        <w:pStyle w:val="Normal"/>
        <w:spacing w:after="0" w:afterAutospacing="off" w:line="240" w:lineRule="auto"/>
        <w:jc w:val="both"/>
        <w:rPr>
          <w:b w:val="0"/>
          <w:bCs w:val="0"/>
          <w:color w:val="auto"/>
          <w:sz w:val="24"/>
          <w:szCs w:val="24"/>
        </w:rPr>
      </w:pPr>
    </w:p>
    <w:p w:rsidR="158C8696" w:rsidP="0AA44229" w:rsidRDefault="158C8696" w14:paraId="29871EC3" w14:textId="305533AF">
      <w:pPr>
        <w:pStyle w:val="Normal"/>
        <w:spacing w:after="0" w:afterAutospacing="off" w:line="240" w:lineRule="auto"/>
        <w:jc w:val="both"/>
        <w:rPr>
          <w:b w:val="1"/>
          <w:bCs w:val="1"/>
          <w:color w:val="FF0000"/>
          <w:sz w:val="24"/>
          <w:szCs w:val="24"/>
        </w:rPr>
      </w:pPr>
      <w:r w:rsidRPr="0AA44229" w:rsidR="158C8696">
        <w:rPr>
          <w:b w:val="1"/>
          <w:bCs w:val="1"/>
          <w:color w:val="FF0000"/>
          <w:sz w:val="24"/>
          <w:szCs w:val="24"/>
        </w:rPr>
        <w:t xml:space="preserve">Private providers </w:t>
      </w:r>
    </w:p>
    <w:p w:rsidR="0AA44229" w:rsidP="0AA44229" w:rsidRDefault="0AA44229" w14:paraId="6CC273B6" w14:textId="10F3559A">
      <w:pPr>
        <w:pStyle w:val="Normal"/>
        <w:spacing w:after="0" w:afterAutospacing="off" w:line="240" w:lineRule="auto"/>
        <w:jc w:val="both"/>
        <w:rPr>
          <w:b w:val="0"/>
          <w:bCs w:val="0"/>
          <w:color w:val="auto"/>
          <w:sz w:val="24"/>
          <w:szCs w:val="24"/>
        </w:rPr>
      </w:pPr>
    </w:p>
    <w:p w:rsidR="158C8696" w:rsidP="0AA44229" w:rsidRDefault="158C8696" w14:paraId="72E52C08" w14:textId="1CC574F9">
      <w:pPr>
        <w:pStyle w:val="Normal"/>
        <w:spacing w:after="0" w:afterAutospacing="off" w:line="240" w:lineRule="auto"/>
        <w:jc w:val="both"/>
        <w:rPr>
          <w:b w:val="0"/>
          <w:bCs w:val="0"/>
          <w:color w:val="auto"/>
          <w:sz w:val="24"/>
          <w:szCs w:val="24"/>
        </w:rPr>
      </w:pPr>
      <w:r w:rsidRPr="0AA44229" w:rsidR="158C8696">
        <w:rPr>
          <w:b w:val="0"/>
          <w:bCs w:val="0"/>
          <w:color w:val="auto"/>
          <w:sz w:val="24"/>
          <w:szCs w:val="24"/>
        </w:rPr>
        <w:t xml:space="preserve">The beneficiaries of this extreme expenditure are often private providers. Shelter suggests </w:t>
      </w:r>
      <w:r w:rsidRPr="0AA44229" w:rsidR="649E72ED">
        <w:rPr>
          <w:b w:val="0"/>
          <w:bCs w:val="0"/>
          <w:color w:val="auto"/>
          <w:sz w:val="24"/>
          <w:szCs w:val="24"/>
        </w:rPr>
        <w:t xml:space="preserve">in </w:t>
      </w:r>
      <w:hyperlink r:id="R003e13e6cea043b1">
        <w:r w:rsidRPr="0AA44229" w:rsidR="649E72ED">
          <w:rPr>
            <w:rStyle w:val="Hyperlink"/>
            <w:b w:val="0"/>
            <w:bCs w:val="0"/>
            <w:sz w:val="24"/>
            <w:szCs w:val="24"/>
          </w:rPr>
          <w:t>Cashing In</w:t>
        </w:r>
      </w:hyperlink>
      <w:r w:rsidRPr="0AA44229" w:rsidR="649E72ED">
        <w:rPr>
          <w:b w:val="0"/>
          <w:bCs w:val="0"/>
          <w:color w:val="auto"/>
          <w:sz w:val="24"/>
          <w:szCs w:val="24"/>
        </w:rPr>
        <w:t xml:space="preserve"> </w:t>
      </w:r>
      <w:r w:rsidRPr="0AA44229" w:rsidR="158C8696">
        <w:rPr>
          <w:b w:val="0"/>
          <w:bCs w:val="0"/>
          <w:color w:val="auto"/>
          <w:sz w:val="24"/>
          <w:szCs w:val="24"/>
        </w:rPr>
        <w:t>that a lucrative private market has developed in which brokers are exploiting the difficulties authorities face in sourcing temporary accommodation.</w:t>
      </w:r>
    </w:p>
    <w:p w:rsidR="0AA44229" w:rsidP="0AA44229" w:rsidRDefault="0AA44229" w14:paraId="23C2BDBB" w14:textId="362AF94F">
      <w:pPr>
        <w:pStyle w:val="Normal"/>
        <w:spacing w:after="0" w:afterAutospacing="off" w:line="240" w:lineRule="auto"/>
        <w:jc w:val="both"/>
        <w:rPr>
          <w:b w:val="0"/>
          <w:bCs w:val="0"/>
          <w:color w:val="auto"/>
          <w:sz w:val="24"/>
          <w:szCs w:val="24"/>
        </w:rPr>
      </w:pPr>
    </w:p>
    <w:p w:rsidR="158C8696" w:rsidP="0AA44229" w:rsidRDefault="158C8696" w14:paraId="18F555F8" w14:textId="4AE22E58">
      <w:pPr>
        <w:pStyle w:val="Normal"/>
        <w:spacing w:after="0" w:afterAutospacing="off" w:line="240" w:lineRule="auto"/>
        <w:jc w:val="both"/>
        <w:rPr>
          <w:b w:val="0"/>
          <w:bCs w:val="0"/>
          <w:color w:val="auto"/>
          <w:sz w:val="24"/>
          <w:szCs w:val="24"/>
        </w:rPr>
      </w:pPr>
      <w:r w:rsidRPr="0AA44229" w:rsidR="158C8696">
        <w:rPr>
          <w:b w:val="0"/>
          <w:bCs w:val="0"/>
          <w:color w:val="auto"/>
          <w:sz w:val="24"/>
          <w:szCs w:val="24"/>
        </w:rPr>
        <w:t xml:space="preserve">The Public Accounts Committee’s (PAC) December 2017 report, </w:t>
      </w:r>
      <w:hyperlink r:id="Rb2f0c8ff1c5543b8">
        <w:r w:rsidRPr="0AA44229" w:rsidR="158C8696">
          <w:rPr>
            <w:rStyle w:val="Hyperlink"/>
            <w:b w:val="0"/>
            <w:bCs w:val="0"/>
            <w:sz w:val="24"/>
            <w:szCs w:val="24"/>
          </w:rPr>
          <w:t>Homeless Households</w:t>
        </w:r>
      </w:hyperlink>
      <w:r w:rsidRPr="0AA44229" w:rsidR="158C8696">
        <w:rPr>
          <w:b w:val="0"/>
          <w:bCs w:val="0"/>
          <w:color w:val="auto"/>
          <w:sz w:val="24"/>
          <w:szCs w:val="24"/>
        </w:rPr>
        <w:t>, observed that temporary accommodation is “often of a poor standard and does not offer value for money”. The Committee recommended the Department take steps to eliminate the use of non-decent temporary accommodation and help authorities source local alternatives offering better value for money. The Government agreed with this recommendation.</w:t>
      </w:r>
      <w:r w:rsidRPr="0AA44229" w:rsidR="7D0919A7">
        <w:rPr>
          <w:b w:val="0"/>
          <w:bCs w:val="0"/>
          <w:color w:val="auto"/>
          <w:sz w:val="24"/>
          <w:szCs w:val="24"/>
        </w:rPr>
        <w:t xml:space="preserve"> </w:t>
      </w:r>
    </w:p>
    <w:p w:rsidR="252C0219" w:rsidP="252C0219" w:rsidRDefault="252C0219" w14:paraId="1B7353C8" w14:textId="00625A43">
      <w:pPr>
        <w:pStyle w:val="Normal"/>
        <w:spacing w:after="0" w:afterAutospacing="off" w:line="240" w:lineRule="auto"/>
        <w:jc w:val="both"/>
        <w:rPr>
          <w:b w:val="1"/>
          <w:bCs w:val="1"/>
          <w:color w:val="FF0000"/>
          <w:sz w:val="24"/>
          <w:szCs w:val="24"/>
        </w:rPr>
      </w:pPr>
    </w:p>
    <w:p w:rsidR="41EE3B90" w:rsidP="252C0219" w:rsidRDefault="41EE3B90" w14:paraId="0324743A" w14:textId="65192AD5">
      <w:pPr>
        <w:spacing w:after="0" w:afterAutospacing="off" w:line="240" w:lineRule="auto"/>
        <w:ind/>
        <w:jc w:val="both"/>
        <w:rPr>
          <w:b w:val="1"/>
          <w:bCs w:val="1"/>
          <w:noProof w:val="0"/>
          <w:color w:val="FF0000"/>
          <w:sz w:val="24"/>
          <w:szCs w:val="24"/>
          <w:lang w:val="en-GB"/>
        </w:rPr>
      </w:pPr>
      <w:r w:rsidRPr="0AA44229" w:rsidR="186AD21F">
        <w:rPr>
          <w:b w:val="1"/>
          <w:bCs w:val="1"/>
          <w:noProof w:val="0"/>
          <w:color w:val="FF0000"/>
          <w:sz w:val="24"/>
          <w:szCs w:val="24"/>
          <w:lang w:val="en-GB"/>
        </w:rPr>
        <w:t>Good practice in this area</w:t>
      </w:r>
    </w:p>
    <w:p w:rsidR="41EE3B90" w:rsidP="0AA44229" w:rsidRDefault="41EE3B90" w14:paraId="512A76B6" w14:textId="79389566">
      <w:pPr>
        <w:pStyle w:val="Normal"/>
        <w:spacing w:after="0" w:afterAutospacing="off" w:line="240" w:lineRule="auto"/>
        <w:ind/>
        <w:jc w:val="both"/>
        <w:rPr>
          <w:b w:val="1"/>
          <w:bCs w:val="1"/>
          <w:noProof w:val="0"/>
          <w:color w:val="FF0000"/>
          <w:sz w:val="24"/>
          <w:szCs w:val="24"/>
          <w:lang w:val="en-GB"/>
        </w:rPr>
      </w:pPr>
    </w:p>
    <w:p w:rsidR="41EE3B90" w:rsidP="0AA44229" w:rsidRDefault="41EE3B90" w14:paraId="1DABD048" w14:textId="1B7061D8">
      <w:pPr>
        <w:pStyle w:val="ListParagraph"/>
        <w:numPr>
          <w:ilvl w:val="0"/>
          <w:numId w:val="8"/>
        </w:numPr>
        <w:bidi w:val="0"/>
        <w:spacing w:before="0" w:beforeAutospacing="off" w:after="0" w:afterAutospacing="off" w:line="240" w:lineRule="auto"/>
        <w:ind w:left="720" w:right="0" w:hanging="360"/>
        <w:jc w:val="both"/>
        <w:rPr>
          <w:b w:val="0"/>
          <w:bCs w:val="0"/>
          <w:noProof w:val="0"/>
          <w:color w:val="auto"/>
          <w:sz w:val="24"/>
          <w:szCs w:val="24"/>
          <w:lang w:val="en-GB"/>
        </w:rPr>
      </w:pPr>
      <w:r w:rsidRPr="0AA44229" w:rsidR="77083852">
        <w:rPr>
          <w:b w:val="0"/>
          <w:bCs w:val="0"/>
          <w:noProof w:val="0"/>
          <w:color w:val="auto"/>
          <w:sz w:val="24"/>
          <w:szCs w:val="24"/>
          <w:lang w:val="en-GB"/>
        </w:rPr>
        <w:t>Assessment of all potential</w:t>
      </w:r>
      <w:r w:rsidRPr="0AA44229" w:rsidR="018DF828">
        <w:rPr>
          <w:b w:val="0"/>
          <w:bCs w:val="0"/>
          <w:noProof w:val="0"/>
          <w:color w:val="auto"/>
          <w:sz w:val="24"/>
          <w:szCs w:val="24"/>
          <w:lang w:val="en-GB"/>
        </w:rPr>
        <w:t xml:space="preserve"> temporary accommodation</w:t>
      </w:r>
      <w:r w:rsidRPr="0AA44229" w:rsidR="77083852">
        <w:rPr>
          <w:b w:val="0"/>
          <w:bCs w:val="0"/>
          <w:noProof w:val="0"/>
          <w:color w:val="auto"/>
          <w:sz w:val="24"/>
          <w:szCs w:val="24"/>
          <w:lang w:val="en-GB"/>
        </w:rPr>
        <w:t xml:space="preserve"> to ensure </w:t>
      </w:r>
      <w:r w:rsidRPr="0AA44229" w:rsidR="40B089BA">
        <w:rPr>
          <w:b w:val="0"/>
          <w:bCs w:val="0"/>
          <w:noProof w:val="0"/>
          <w:color w:val="auto"/>
          <w:sz w:val="24"/>
          <w:szCs w:val="24"/>
          <w:lang w:val="en-GB"/>
        </w:rPr>
        <w:t>it is</w:t>
      </w:r>
      <w:r w:rsidRPr="0AA44229" w:rsidR="77083852">
        <w:rPr>
          <w:b w:val="0"/>
          <w:bCs w:val="0"/>
          <w:noProof w:val="0"/>
          <w:color w:val="auto"/>
          <w:sz w:val="24"/>
          <w:szCs w:val="24"/>
          <w:lang w:val="en-GB"/>
        </w:rPr>
        <w:t xml:space="preserve"> of sufficient quality</w:t>
      </w:r>
    </w:p>
    <w:p w:rsidR="41EE3B90" w:rsidP="0AA44229" w:rsidRDefault="41EE3B90" w14:paraId="7DCDDE84" w14:textId="37726208">
      <w:pPr>
        <w:pStyle w:val="ListParagraph"/>
        <w:numPr>
          <w:ilvl w:val="0"/>
          <w:numId w:val="8"/>
        </w:numPr>
        <w:bidi w:val="0"/>
        <w:spacing w:before="0" w:beforeAutospacing="off" w:after="0" w:afterAutospacing="off" w:line="240" w:lineRule="auto"/>
        <w:ind w:left="720" w:right="0" w:hanging="360"/>
        <w:jc w:val="both"/>
        <w:rPr>
          <w:b w:val="0"/>
          <w:bCs w:val="0"/>
          <w:noProof w:val="0"/>
          <w:color w:val="auto"/>
          <w:sz w:val="24"/>
          <w:szCs w:val="24"/>
          <w:lang w:val="en-GB"/>
        </w:rPr>
      </w:pPr>
      <w:r w:rsidRPr="0AA44229" w:rsidR="77083852">
        <w:rPr>
          <w:b w:val="0"/>
          <w:bCs w:val="0"/>
          <w:noProof w:val="0"/>
          <w:color w:val="auto"/>
          <w:sz w:val="24"/>
          <w:szCs w:val="24"/>
          <w:lang w:val="en-GB"/>
        </w:rPr>
        <w:t>Timely follow up of complaints and trends seen following placements</w:t>
      </w:r>
    </w:p>
    <w:p w:rsidR="41EE3B90" w:rsidP="0AA44229" w:rsidRDefault="41EE3B90" w14:paraId="17BBEA4D" w14:textId="6CA3CC19">
      <w:pPr>
        <w:pStyle w:val="ListParagraph"/>
        <w:numPr>
          <w:ilvl w:val="0"/>
          <w:numId w:val="8"/>
        </w:numPr>
        <w:bidi w:val="0"/>
        <w:spacing w:before="0" w:beforeAutospacing="off" w:after="0" w:afterAutospacing="off" w:line="240" w:lineRule="auto"/>
        <w:ind w:left="720" w:right="0" w:hanging="360"/>
        <w:jc w:val="both"/>
        <w:rPr>
          <w:b w:val="0"/>
          <w:bCs w:val="0"/>
          <w:noProof w:val="0"/>
          <w:color w:val="auto"/>
          <w:sz w:val="24"/>
          <w:szCs w:val="24"/>
          <w:lang w:val="en-GB"/>
        </w:rPr>
      </w:pPr>
      <w:r w:rsidRPr="0AA44229" w:rsidR="38D94C29">
        <w:rPr>
          <w:b w:val="0"/>
          <w:bCs w:val="0"/>
          <w:noProof w:val="0"/>
          <w:color w:val="auto"/>
          <w:sz w:val="24"/>
          <w:szCs w:val="24"/>
          <w:lang w:val="en-GB"/>
        </w:rPr>
        <w:t>Reduce the need for/time spent in temporary accommodation by a</w:t>
      </w:r>
      <w:r w:rsidRPr="0AA44229" w:rsidR="77083852">
        <w:rPr>
          <w:b w:val="0"/>
          <w:bCs w:val="0"/>
          <w:noProof w:val="0"/>
          <w:color w:val="auto"/>
          <w:sz w:val="24"/>
          <w:szCs w:val="24"/>
          <w:lang w:val="en-GB"/>
        </w:rPr>
        <w:t xml:space="preserve">dopting a </w:t>
      </w:r>
      <w:r w:rsidRPr="0AA44229" w:rsidR="77083852">
        <w:rPr>
          <w:b w:val="0"/>
          <w:bCs w:val="0"/>
          <w:noProof w:val="0"/>
          <w:color w:val="auto"/>
          <w:sz w:val="24"/>
          <w:szCs w:val="24"/>
          <w:lang w:val="en-GB"/>
        </w:rPr>
        <w:t xml:space="preserve">housing led approach </w:t>
      </w:r>
    </w:p>
    <w:p w:rsidR="41EE3B90" w:rsidP="0AA44229" w:rsidRDefault="41EE3B90" w14:paraId="1159BEF7" w14:textId="3C48437D">
      <w:pPr>
        <w:pStyle w:val="ListParagraph"/>
        <w:numPr>
          <w:ilvl w:val="0"/>
          <w:numId w:val="8"/>
        </w:numPr>
        <w:spacing w:after="0" w:afterAutospacing="off" w:line="240" w:lineRule="auto"/>
        <w:ind/>
        <w:jc w:val="both"/>
        <w:rPr>
          <w:b w:val="0"/>
          <w:bCs w:val="0"/>
          <w:noProof w:val="0"/>
          <w:color w:val="auto"/>
          <w:sz w:val="24"/>
          <w:szCs w:val="24"/>
          <w:lang w:val="en-GB"/>
        </w:rPr>
      </w:pPr>
      <w:r w:rsidRPr="0AA44229" w:rsidR="77083852">
        <w:rPr>
          <w:b w:val="0"/>
          <w:bCs w:val="0"/>
          <w:noProof w:val="0"/>
          <w:color w:val="auto"/>
          <w:sz w:val="24"/>
          <w:szCs w:val="24"/>
          <w:lang w:val="en-GB"/>
        </w:rPr>
        <w:t xml:space="preserve">Placing of people according to needs to avoid breakdown of </w:t>
      </w:r>
      <w:r w:rsidRPr="0AA44229" w:rsidR="1B45A453">
        <w:rPr>
          <w:b w:val="0"/>
          <w:bCs w:val="0"/>
          <w:noProof w:val="0"/>
          <w:color w:val="auto"/>
          <w:sz w:val="24"/>
          <w:szCs w:val="24"/>
          <w:lang w:val="en-GB"/>
        </w:rPr>
        <w:t xml:space="preserve">placements </w:t>
      </w:r>
    </w:p>
    <w:p w:rsidR="41EE3B90" w:rsidP="0AA44229" w:rsidRDefault="41EE3B90" w14:paraId="31ED664C" w14:textId="51BFD39B">
      <w:pPr>
        <w:pStyle w:val="ListParagraph"/>
        <w:numPr>
          <w:ilvl w:val="0"/>
          <w:numId w:val="8"/>
        </w:numPr>
        <w:spacing w:after="0" w:afterAutospacing="off" w:line="240" w:lineRule="auto"/>
        <w:ind/>
        <w:jc w:val="both"/>
        <w:rPr>
          <w:b w:val="0"/>
          <w:bCs w:val="0"/>
          <w:noProof w:val="0"/>
          <w:color w:val="auto"/>
          <w:sz w:val="24"/>
          <w:szCs w:val="24"/>
          <w:lang w:val="en-GB"/>
        </w:rPr>
      </w:pPr>
      <w:r w:rsidRPr="0AA44229" w:rsidR="77083852">
        <w:rPr>
          <w:b w:val="0"/>
          <w:bCs w:val="0"/>
          <w:noProof w:val="0"/>
          <w:color w:val="auto"/>
          <w:sz w:val="24"/>
          <w:szCs w:val="24"/>
          <w:lang w:val="en-GB"/>
        </w:rPr>
        <w:t xml:space="preserve">Ensure any </w:t>
      </w:r>
      <w:r w:rsidRPr="0AA44229" w:rsidR="17C9666F">
        <w:rPr>
          <w:b w:val="0"/>
          <w:bCs w:val="0"/>
          <w:noProof w:val="0"/>
          <w:color w:val="auto"/>
          <w:sz w:val="24"/>
          <w:szCs w:val="24"/>
          <w:lang w:val="en-GB"/>
        </w:rPr>
        <w:t>landlord is a 'fit and proper person' to manage the premise</w:t>
      </w:r>
      <w:r w:rsidRPr="0AA44229" w:rsidR="4E3F12D0">
        <w:rPr>
          <w:b w:val="0"/>
          <w:bCs w:val="0"/>
          <w:noProof w:val="0"/>
          <w:color w:val="auto"/>
          <w:sz w:val="24"/>
          <w:szCs w:val="24"/>
          <w:lang w:val="en-GB"/>
        </w:rPr>
        <w:t>s</w:t>
      </w:r>
    </w:p>
    <w:p w:rsidR="41EE3B90" w:rsidP="22490251" w:rsidRDefault="41EE3B90" w14:paraId="745F37A2" w14:textId="2EEEE0E9">
      <w:pPr>
        <w:pStyle w:val="Normal"/>
        <w:spacing w:after="0" w:afterAutospacing="off" w:line="240" w:lineRule="auto"/>
        <w:ind w:left="0"/>
        <w:jc w:val="both"/>
        <w:rPr>
          <w:b w:val="1"/>
          <w:bCs w:val="1"/>
          <w:noProof w:val="0"/>
          <w:color w:val="FF0000"/>
          <w:sz w:val="24"/>
          <w:szCs w:val="24"/>
          <w:lang w:val="en-GB"/>
        </w:rPr>
      </w:pPr>
    </w:p>
    <w:p w:rsidR="0F63E4D8" w:rsidP="252C0219" w:rsidRDefault="0F63E4D8" w14:paraId="5CEF31A1" w14:textId="5DB9B76E">
      <w:pPr>
        <w:pStyle w:val="Normal"/>
        <w:spacing w:after="0" w:afterAutospacing="off" w:line="240" w:lineRule="auto"/>
        <w:ind w:left="0"/>
        <w:rPr>
          <w:rFonts w:ascii="Calibri" w:hAnsi="Calibri" w:eastAsia="Calibri" w:cs="Calibri" w:asciiTheme="minorAscii" w:hAnsiTheme="minorAscii" w:eastAsiaTheme="minorAscii" w:cstheme="minorAscii"/>
          <w:b w:val="1"/>
          <w:bCs w:val="1"/>
          <w:i w:val="0"/>
          <w:iCs w:val="0"/>
          <w:noProof w:val="0"/>
          <w:color w:val="FF0000"/>
          <w:sz w:val="24"/>
          <w:szCs w:val="24"/>
          <w:lang w:val="en-GB"/>
        </w:rPr>
      </w:pPr>
      <w:r w:rsidRPr="252C0219" w:rsidR="0F63E4D8">
        <w:rPr>
          <w:rFonts w:ascii="Calibri" w:hAnsi="Calibri" w:eastAsia="Calibri" w:cs="Calibri" w:asciiTheme="minorAscii" w:hAnsiTheme="minorAscii" w:eastAsiaTheme="minorAscii" w:cstheme="minorAscii"/>
          <w:b w:val="1"/>
          <w:bCs w:val="1"/>
          <w:i w:val="0"/>
          <w:iCs w:val="0"/>
          <w:noProof w:val="0"/>
          <w:color w:val="FF0000"/>
          <w:sz w:val="24"/>
          <w:szCs w:val="24"/>
          <w:lang w:val="en-GB"/>
        </w:rPr>
        <w:t xml:space="preserve">Something to think about before the </w:t>
      </w:r>
      <w:r w:rsidRPr="252C0219" w:rsidR="605E153A">
        <w:rPr>
          <w:rFonts w:ascii="Calibri" w:hAnsi="Calibri" w:eastAsia="Calibri" w:cs="Calibri" w:asciiTheme="minorAscii" w:hAnsiTheme="minorAscii" w:eastAsiaTheme="minorAscii" w:cstheme="minorAscii"/>
          <w:b w:val="1"/>
          <w:bCs w:val="1"/>
          <w:i w:val="0"/>
          <w:iCs w:val="0"/>
          <w:noProof w:val="0"/>
          <w:color w:val="FF0000"/>
          <w:sz w:val="24"/>
          <w:szCs w:val="24"/>
          <w:lang w:val="en-GB"/>
        </w:rPr>
        <w:t>exchange.</w:t>
      </w:r>
    </w:p>
    <w:p w:rsidR="22490251" w:rsidP="252C0219" w:rsidRDefault="22490251" w14:paraId="71C24120" w14:textId="735655C5">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p>
    <w:p w:rsidR="1A138FD0" w:rsidP="0AA44229" w:rsidRDefault="1A138FD0" w14:paraId="4A31E515" w14:textId="2FC6E6E4">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AA44229" w:rsidR="21488AC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How can we reduce our reliance on temporary accommodation?</w:t>
      </w:r>
    </w:p>
    <w:p w:rsidR="1A138FD0" w:rsidP="0AA44229" w:rsidRDefault="1A138FD0" w14:paraId="7560D220" w14:textId="2ED67969">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AA44229" w:rsidR="21488AC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Might there be a way to reduce the reliance on private providers?</w:t>
      </w:r>
    </w:p>
    <w:p w:rsidR="21488AC3" w:rsidP="0AA44229" w:rsidRDefault="21488AC3" w14:paraId="7B720F1A" w14:textId="60E3715D">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AA44229" w:rsidR="21488AC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How can we encourage a rise in standards in temporary accomm</w:t>
      </w:r>
      <w:r w:rsidRPr="0AA44229" w:rsidR="21488AC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odation?</w:t>
      </w:r>
    </w:p>
    <w:p w:rsidR="3712CAEC" w:rsidP="0AA44229" w:rsidRDefault="3712CAEC" w14:paraId="598D2196" w14:textId="44CC497C">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AA44229" w:rsidR="3712CAE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Can more innovation help us to plan and provide future services?</w:t>
      </w:r>
    </w:p>
    <w:p w:rsidR="2F587EE4" w:rsidP="0AA44229" w:rsidRDefault="2F587EE4" w14:paraId="2277708A" w14:textId="3C9349D8">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AA44229" w:rsidR="2F587EE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What support models are we using? </w:t>
      </w:r>
    </w:p>
    <w:p w:rsidR="2F587EE4" w:rsidP="0AA44229" w:rsidRDefault="2F587EE4" w14:paraId="2E561D54" w14:textId="7EFBDF16">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AA44229" w:rsidR="2F587EE4">
        <w:rPr>
          <w:rFonts w:ascii="Calibri" w:hAnsi="Calibri" w:eastAsia="Calibri" w:cs="Calibri"/>
          <w:b w:val="0"/>
          <w:bCs w:val="0"/>
          <w:i w:val="0"/>
          <w:iCs w:val="0"/>
          <w:caps w:val="0"/>
          <w:smallCaps w:val="0"/>
          <w:noProof w:val="0"/>
          <w:color w:val="000000" w:themeColor="text1" w:themeTint="FF" w:themeShade="FF"/>
          <w:sz w:val="24"/>
          <w:szCs w:val="24"/>
          <w:lang w:val="en-GB"/>
        </w:rPr>
        <w:t>Who provides the support whilst in TA?</w:t>
      </w:r>
    </w:p>
    <w:p w:rsidR="2F587EE4" w:rsidP="0AA44229" w:rsidRDefault="2F587EE4" w14:paraId="0ABC16D2" w14:textId="20AD92C7">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AA44229" w:rsidR="2F587EE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Are support services commissioned?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OrtZNwJC/JiGrS" id="Qvrtmjrr"/>
    <int:WordHash hashCode="DvwBF5XRtWRjiY" id="WBzuXRSt"/>
    <int:WordHash hashCode="StwWm77PdcJQK3" id="XjR15MxJ"/>
    <int:WordHash hashCode="NQmjNebJV7gKRy" id="bIh0YVd1"/>
    <int:WordHash hashCode="0lRkFwCgr4HEpx" id="NBWyRDJV"/>
    <int:WordHash hashCode="CCU3VwuXHvyEdf" id="W+XGPXXD"/>
  </int:Manifest>
  <int:Observations>
    <int:Content id="Qvrtmjrr">
      <int:Rejection type="LegacyProofing"/>
    </int:Content>
    <int:Content id="WBzuXRSt">
      <int:Rejection type="AugLoop_Text_Critique"/>
    </int:Content>
    <int:Content id="XjR15MxJ">
      <int:Rejection type="AugLoop_Text_Critique"/>
    </int:Content>
    <int:Content id="bIh0YVd1">
      <int:Rejection type="AugLoop_Text_Critique"/>
    </int:Content>
    <int:Content id="NBWyRDJV">
      <int:Rejection type="AugLoop_Text_Critique"/>
    </int:Content>
    <int:Content id="W+XGPXXD">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72504B"/>
    <w:rsid w:val="000F0462"/>
    <w:rsid w:val="0051C2AA"/>
    <w:rsid w:val="007ED641"/>
    <w:rsid w:val="00980C08"/>
    <w:rsid w:val="00B0F8B7"/>
    <w:rsid w:val="00B3244C"/>
    <w:rsid w:val="00D827B3"/>
    <w:rsid w:val="0121CD35"/>
    <w:rsid w:val="017C643E"/>
    <w:rsid w:val="018DF828"/>
    <w:rsid w:val="0195B9E4"/>
    <w:rsid w:val="01A79050"/>
    <w:rsid w:val="01A9ECA9"/>
    <w:rsid w:val="01ABB942"/>
    <w:rsid w:val="01C76429"/>
    <w:rsid w:val="01F99DBD"/>
    <w:rsid w:val="02608BEE"/>
    <w:rsid w:val="02681D0A"/>
    <w:rsid w:val="0282CE6A"/>
    <w:rsid w:val="0292EE5B"/>
    <w:rsid w:val="029CE775"/>
    <w:rsid w:val="02C3B157"/>
    <w:rsid w:val="033327BC"/>
    <w:rsid w:val="0367EAEF"/>
    <w:rsid w:val="03B8E86D"/>
    <w:rsid w:val="03C421E9"/>
    <w:rsid w:val="0465CB92"/>
    <w:rsid w:val="048AE6C2"/>
    <w:rsid w:val="0502A3C4"/>
    <w:rsid w:val="05048BFB"/>
    <w:rsid w:val="0578BFAA"/>
    <w:rsid w:val="05823478"/>
    <w:rsid w:val="05D95342"/>
    <w:rsid w:val="05E0F6C8"/>
    <w:rsid w:val="05F4C7DB"/>
    <w:rsid w:val="05F63E28"/>
    <w:rsid w:val="06250172"/>
    <w:rsid w:val="06297E8B"/>
    <w:rsid w:val="06502EA7"/>
    <w:rsid w:val="068733FF"/>
    <w:rsid w:val="06D83EFC"/>
    <w:rsid w:val="06E55BE1"/>
    <w:rsid w:val="0704B3F4"/>
    <w:rsid w:val="07A16CE5"/>
    <w:rsid w:val="07B08C28"/>
    <w:rsid w:val="07DBCEB5"/>
    <w:rsid w:val="07E30F06"/>
    <w:rsid w:val="07EE1959"/>
    <w:rsid w:val="082EF547"/>
    <w:rsid w:val="08708A1C"/>
    <w:rsid w:val="09077418"/>
    <w:rsid w:val="0918978A"/>
    <w:rsid w:val="09572CA5"/>
    <w:rsid w:val="0977AE4F"/>
    <w:rsid w:val="0990E877"/>
    <w:rsid w:val="09E6130D"/>
    <w:rsid w:val="0A201CD4"/>
    <w:rsid w:val="0A5A0692"/>
    <w:rsid w:val="0AA44229"/>
    <w:rsid w:val="0AA44EF6"/>
    <w:rsid w:val="0AFCEFAE"/>
    <w:rsid w:val="0B2B726B"/>
    <w:rsid w:val="0B33F4B7"/>
    <w:rsid w:val="0BBD4784"/>
    <w:rsid w:val="0BF5D6F3"/>
    <w:rsid w:val="0BFD0F56"/>
    <w:rsid w:val="0C2A67F8"/>
    <w:rsid w:val="0C562754"/>
    <w:rsid w:val="0C6E9283"/>
    <w:rsid w:val="0C928B02"/>
    <w:rsid w:val="0CAFA369"/>
    <w:rsid w:val="0CF3ECB7"/>
    <w:rsid w:val="0D85DC83"/>
    <w:rsid w:val="0D8F8167"/>
    <w:rsid w:val="0DBB1AB8"/>
    <w:rsid w:val="0DDC5041"/>
    <w:rsid w:val="0DE40A70"/>
    <w:rsid w:val="0F1CAF01"/>
    <w:rsid w:val="0F61638F"/>
    <w:rsid w:val="0F63E4D8"/>
    <w:rsid w:val="0FC320E1"/>
    <w:rsid w:val="0FC640BA"/>
    <w:rsid w:val="0FFAC04D"/>
    <w:rsid w:val="100ED703"/>
    <w:rsid w:val="100F17AF"/>
    <w:rsid w:val="10299A51"/>
    <w:rsid w:val="104FE40E"/>
    <w:rsid w:val="1056FA1C"/>
    <w:rsid w:val="1059F378"/>
    <w:rsid w:val="106A612A"/>
    <w:rsid w:val="10EA7A9A"/>
    <w:rsid w:val="10F51205"/>
    <w:rsid w:val="120CC345"/>
    <w:rsid w:val="12480D1A"/>
    <w:rsid w:val="12651877"/>
    <w:rsid w:val="12C66691"/>
    <w:rsid w:val="12F11299"/>
    <w:rsid w:val="13370064"/>
    <w:rsid w:val="13497F6E"/>
    <w:rsid w:val="13796BE1"/>
    <w:rsid w:val="146F2276"/>
    <w:rsid w:val="147F6E7C"/>
    <w:rsid w:val="14A3D1F4"/>
    <w:rsid w:val="14C57DA1"/>
    <w:rsid w:val="14C6C60D"/>
    <w:rsid w:val="14F92E53"/>
    <w:rsid w:val="154686ED"/>
    <w:rsid w:val="154AF82F"/>
    <w:rsid w:val="1562B668"/>
    <w:rsid w:val="156890EB"/>
    <w:rsid w:val="157049F7"/>
    <w:rsid w:val="158C8696"/>
    <w:rsid w:val="159290A0"/>
    <w:rsid w:val="159317CE"/>
    <w:rsid w:val="15CD1AF3"/>
    <w:rsid w:val="162CD71E"/>
    <w:rsid w:val="163FA255"/>
    <w:rsid w:val="16425269"/>
    <w:rsid w:val="16662674"/>
    <w:rsid w:val="16AA93C6"/>
    <w:rsid w:val="16B00936"/>
    <w:rsid w:val="16D9A2AE"/>
    <w:rsid w:val="1781764F"/>
    <w:rsid w:val="1794744E"/>
    <w:rsid w:val="17AD3801"/>
    <w:rsid w:val="17B81C94"/>
    <w:rsid w:val="17C9666F"/>
    <w:rsid w:val="17CEB4B5"/>
    <w:rsid w:val="18132430"/>
    <w:rsid w:val="186AD21F"/>
    <w:rsid w:val="1886ADE6"/>
    <w:rsid w:val="18FEB6C8"/>
    <w:rsid w:val="19025011"/>
    <w:rsid w:val="1903A58E"/>
    <w:rsid w:val="1910DB13"/>
    <w:rsid w:val="191C7FB8"/>
    <w:rsid w:val="192BE3B0"/>
    <w:rsid w:val="1934AA5C"/>
    <w:rsid w:val="19C418A2"/>
    <w:rsid w:val="19C671A7"/>
    <w:rsid w:val="1A138FD0"/>
    <w:rsid w:val="1AA832F5"/>
    <w:rsid w:val="1AB6C4DF"/>
    <w:rsid w:val="1ACE10BD"/>
    <w:rsid w:val="1AF75F6F"/>
    <w:rsid w:val="1AFDE91B"/>
    <w:rsid w:val="1B1676E7"/>
    <w:rsid w:val="1B45A453"/>
    <w:rsid w:val="1B4CEF7B"/>
    <w:rsid w:val="1B547F59"/>
    <w:rsid w:val="1BEE7857"/>
    <w:rsid w:val="1BFABFE6"/>
    <w:rsid w:val="1BFD2F06"/>
    <w:rsid w:val="1C55CAF7"/>
    <w:rsid w:val="1C583FDF"/>
    <w:rsid w:val="1C59B4D6"/>
    <w:rsid w:val="1CDD557E"/>
    <w:rsid w:val="1D0819B5"/>
    <w:rsid w:val="1D8F1A4F"/>
    <w:rsid w:val="1DE1FFE1"/>
    <w:rsid w:val="1E4CC650"/>
    <w:rsid w:val="1E62B207"/>
    <w:rsid w:val="1E69851A"/>
    <w:rsid w:val="1E7C5793"/>
    <w:rsid w:val="1EB81673"/>
    <w:rsid w:val="1EDAFC75"/>
    <w:rsid w:val="1EF1E1A9"/>
    <w:rsid w:val="1F04E020"/>
    <w:rsid w:val="1F3C4742"/>
    <w:rsid w:val="1FB761A3"/>
    <w:rsid w:val="20A4074E"/>
    <w:rsid w:val="20F083AF"/>
    <w:rsid w:val="2127919D"/>
    <w:rsid w:val="21393488"/>
    <w:rsid w:val="21488AC3"/>
    <w:rsid w:val="2159EA06"/>
    <w:rsid w:val="219299A9"/>
    <w:rsid w:val="219F7CCD"/>
    <w:rsid w:val="21D8B9FE"/>
    <w:rsid w:val="21ED1FF8"/>
    <w:rsid w:val="222A0609"/>
    <w:rsid w:val="22490251"/>
    <w:rsid w:val="22AC2559"/>
    <w:rsid w:val="22AEF3B6"/>
    <w:rsid w:val="22BAA506"/>
    <w:rsid w:val="22BBE297"/>
    <w:rsid w:val="22E70EF4"/>
    <w:rsid w:val="22F084D0"/>
    <w:rsid w:val="2318D2F3"/>
    <w:rsid w:val="23A262B2"/>
    <w:rsid w:val="23E0B523"/>
    <w:rsid w:val="24567567"/>
    <w:rsid w:val="24DACCB7"/>
    <w:rsid w:val="250665BD"/>
    <w:rsid w:val="2514D116"/>
    <w:rsid w:val="252C0219"/>
    <w:rsid w:val="25334992"/>
    <w:rsid w:val="254C4B3C"/>
    <w:rsid w:val="25CD4376"/>
    <w:rsid w:val="2617524B"/>
    <w:rsid w:val="26248F25"/>
    <w:rsid w:val="267496FF"/>
    <w:rsid w:val="2699CA8A"/>
    <w:rsid w:val="26DF58C6"/>
    <w:rsid w:val="26EFC678"/>
    <w:rsid w:val="274378B1"/>
    <w:rsid w:val="27507CFD"/>
    <w:rsid w:val="277071D8"/>
    <w:rsid w:val="27FA9598"/>
    <w:rsid w:val="28388A0D"/>
    <w:rsid w:val="289316CD"/>
    <w:rsid w:val="28B3D302"/>
    <w:rsid w:val="28E86823"/>
    <w:rsid w:val="2918D727"/>
    <w:rsid w:val="292210D6"/>
    <w:rsid w:val="295E43E9"/>
    <w:rsid w:val="29697155"/>
    <w:rsid w:val="29A2B029"/>
    <w:rsid w:val="2A1F79B4"/>
    <w:rsid w:val="2A9CE0EC"/>
    <w:rsid w:val="2AD28066"/>
    <w:rsid w:val="2B073B45"/>
    <w:rsid w:val="2B32365A"/>
    <w:rsid w:val="2B68D642"/>
    <w:rsid w:val="2B7D88E4"/>
    <w:rsid w:val="2B821B40"/>
    <w:rsid w:val="2BA08452"/>
    <w:rsid w:val="2BC3379B"/>
    <w:rsid w:val="2BEEA77B"/>
    <w:rsid w:val="2BFD9CCB"/>
    <w:rsid w:val="2C2F3BC3"/>
    <w:rsid w:val="2C3CAD9F"/>
    <w:rsid w:val="2C3E0CBF"/>
    <w:rsid w:val="2C62C4DD"/>
    <w:rsid w:val="2CC07958"/>
    <w:rsid w:val="2CCCD44D"/>
    <w:rsid w:val="2CD340CB"/>
    <w:rsid w:val="2CF31B1C"/>
    <w:rsid w:val="2D2AF6F9"/>
    <w:rsid w:val="2D58E012"/>
    <w:rsid w:val="2D5FEBB7"/>
    <w:rsid w:val="2D83120A"/>
    <w:rsid w:val="2DC4A140"/>
    <w:rsid w:val="2E56A7E5"/>
    <w:rsid w:val="2EC7A16C"/>
    <w:rsid w:val="2F587EE4"/>
    <w:rsid w:val="2FD13EBD"/>
    <w:rsid w:val="304600C1"/>
    <w:rsid w:val="307668E9"/>
    <w:rsid w:val="310A3300"/>
    <w:rsid w:val="31222D90"/>
    <w:rsid w:val="31456B0C"/>
    <w:rsid w:val="3179F7F4"/>
    <w:rsid w:val="31BEEF69"/>
    <w:rsid w:val="324E1C3D"/>
    <w:rsid w:val="3359C3AB"/>
    <w:rsid w:val="3366D64F"/>
    <w:rsid w:val="337686AB"/>
    <w:rsid w:val="337B4EDB"/>
    <w:rsid w:val="337FC331"/>
    <w:rsid w:val="33B36C8B"/>
    <w:rsid w:val="33D8632D"/>
    <w:rsid w:val="33E48DCB"/>
    <w:rsid w:val="33EA1785"/>
    <w:rsid w:val="34098B48"/>
    <w:rsid w:val="343D5562"/>
    <w:rsid w:val="3452DA57"/>
    <w:rsid w:val="34B88187"/>
    <w:rsid w:val="34D75BBD"/>
    <w:rsid w:val="34DD0663"/>
    <w:rsid w:val="34FEEFD4"/>
    <w:rsid w:val="35604395"/>
    <w:rsid w:val="357B83D2"/>
    <w:rsid w:val="35A561B4"/>
    <w:rsid w:val="35ADE1E0"/>
    <w:rsid w:val="35DDA5A1"/>
    <w:rsid w:val="35F24E20"/>
    <w:rsid w:val="35F3D681"/>
    <w:rsid w:val="360471B9"/>
    <w:rsid w:val="370BBB98"/>
    <w:rsid w:val="3712CAEC"/>
    <w:rsid w:val="373FFDBF"/>
    <w:rsid w:val="37B4E471"/>
    <w:rsid w:val="37C75C7B"/>
    <w:rsid w:val="37D67F3A"/>
    <w:rsid w:val="37F47003"/>
    <w:rsid w:val="3807445B"/>
    <w:rsid w:val="381A5587"/>
    <w:rsid w:val="38491610"/>
    <w:rsid w:val="38C7A501"/>
    <w:rsid w:val="38D94C29"/>
    <w:rsid w:val="39246173"/>
    <w:rsid w:val="3940711E"/>
    <w:rsid w:val="39528951"/>
    <w:rsid w:val="397210C3"/>
    <w:rsid w:val="397467B3"/>
    <w:rsid w:val="39D260F7"/>
    <w:rsid w:val="39F2A929"/>
    <w:rsid w:val="3A3D8B04"/>
    <w:rsid w:val="3AB9ECD9"/>
    <w:rsid w:val="3AD7E2DC"/>
    <w:rsid w:val="3AD9B0A1"/>
    <w:rsid w:val="3ADB3642"/>
    <w:rsid w:val="3AE2F790"/>
    <w:rsid w:val="3BA74D56"/>
    <w:rsid w:val="3BB4E8BC"/>
    <w:rsid w:val="3C3229FF"/>
    <w:rsid w:val="3C3E0C67"/>
    <w:rsid w:val="3C66703F"/>
    <w:rsid w:val="3CC3D183"/>
    <w:rsid w:val="3D1ACA6D"/>
    <w:rsid w:val="3D877349"/>
    <w:rsid w:val="3D94432B"/>
    <w:rsid w:val="3DA3837A"/>
    <w:rsid w:val="3DDC5BA7"/>
    <w:rsid w:val="3E0240A0"/>
    <w:rsid w:val="3E30D02C"/>
    <w:rsid w:val="3E38206A"/>
    <w:rsid w:val="3E463B70"/>
    <w:rsid w:val="3E6EA71C"/>
    <w:rsid w:val="3EB139A1"/>
    <w:rsid w:val="3ECA7D0E"/>
    <w:rsid w:val="3ECBF5E9"/>
    <w:rsid w:val="3ED8AF29"/>
    <w:rsid w:val="3EE81B5E"/>
    <w:rsid w:val="3F513BDB"/>
    <w:rsid w:val="3F94E9B2"/>
    <w:rsid w:val="3F9C0322"/>
    <w:rsid w:val="3FAAE69B"/>
    <w:rsid w:val="3FF57A4D"/>
    <w:rsid w:val="40A58FF5"/>
    <w:rsid w:val="40ACCC88"/>
    <w:rsid w:val="40B089BA"/>
    <w:rsid w:val="41AE68D2"/>
    <w:rsid w:val="41C1CC4E"/>
    <w:rsid w:val="41DD00B9"/>
    <w:rsid w:val="41ED2D87"/>
    <w:rsid w:val="41EE3B90"/>
    <w:rsid w:val="426CA4BB"/>
    <w:rsid w:val="42AFADC9"/>
    <w:rsid w:val="42B7A8CB"/>
    <w:rsid w:val="42BE09CA"/>
    <w:rsid w:val="42DB743A"/>
    <w:rsid w:val="43F6B4CD"/>
    <w:rsid w:val="440F4F97"/>
    <w:rsid w:val="4554FE7C"/>
    <w:rsid w:val="4561E916"/>
    <w:rsid w:val="45806724"/>
    <w:rsid w:val="4594D1C9"/>
    <w:rsid w:val="45B2CAD3"/>
    <w:rsid w:val="45C783EA"/>
    <w:rsid w:val="4635727D"/>
    <w:rsid w:val="46B1AE9F"/>
    <w:rsid w:val="46B45F60"/>
    <w:rsid w:val="46C4EBF5"/>
    <w:rsid w:val="46FD3A3C"/>
    <w:rsid w:val="471C0E0C"/>
    <w:rsid w:val="47A39BD6"/>
    <w:rsid w:val="47BA712F"/>
    <w:rsid w:val="47BC64D7"/>
    <w:rsid w:val="48310DD2"/>
    <w:rsid w:val="48507022"/>
    <w:rsid w:val="48603E1E"/>
    <w:rsid w:val="489EB610"/>
    <w:rsid w:val="48A5A2D1"/>
    <w:rsid w:val="48B5FC34"/>
    <w:rsid w:val="48B9F7B2"/>
    <w:rsid w:val="496C0E66"/>
    <w:rsid w:val="49927903"/>
    <w:rsid w:val="49A79B66"/>
    <w:rsid w:val="49C3D0A7"/>
    <w:rsid w:val="49C3D0A7"/>
    <w:rsid w:val="4A1FC0AE"/>
    <w:rsid w:val="4A417332"/>
    <w:rsid w:val="4A771A07"/>
    <w:rsid w:val="4A8CF7C4"/>
    <w:rsid w:val="4AC83F38"/>
    <w:rsid w:val="4ADB3C98"/>
    <w:rsid w:val="4ADFC315"/>
    <w:rsid w:val="4B412DDB"/>
    <w:rsid w:val="4B6ABAA2"/>
    <w:rsid w:val="4C5EEFB8"/>
    <w:rsid w:val="4C770CF9"/>
    <w:rsid w:val="4C91C48D"/>
    <w:rsid w:val="4CA217A2"/>
    <w:rsid w:val="4CC1938E"/>
    <w:rsid w:val="4CE9312A"/>
    <w:rsid w:val="4D15BD13"/>
    <w:rsid w:val="4D4DBE28"/>
    <w:rsid w:val="4DC6CBDE"/>
    <w:rsid w:val="4DE535EB"/>
    <w:rsid w:val="4E210793"/>
    <w:rsid w:val="4E3F12D0"/>
    <w:rsid w:val="4E4897F4"/>
    <w:rsid w:val="4EA25B64"/>
    <w:rsid w:val="4EB2792C"/>
    <w:rsid w:val="4EDBC3EB"/>
    <w:rsid w:val="4F3CC2D6"/>
    <w:rsid w:val="4F4084BC"/>
    <w:rsid w:val="4F5D2F03"/>
    <w:rsid w:val="501D094D"/>
    <w:rsid w:val="502D2A67"/>
    <w:rsid w:val="5052E68A"/>
    <w:rsid w:val="50546300"/>
    <w:rsid w:val="505EA8AF"/>
    <w:rsid w:val="50902EC1"/>
    <w:rsid w:val="50A270AE"/>
    <w:rsid w:val="50C3AEBB"/>
    <w:rsid w:val="50D4AA42"/>
    <w:rsid w:val="515B5822"/>
    <w:rsid w:val="515F912E"/>
    <w:rsid w:val="51897063"/>
    <w:rsid w:val="51A35C3E"/>
    <w:rsid w:val="51C8CECB"/>
    <w:rsid w:val="51F7A70B"/>
    <w:rsid w:val="520C96CA"/>
    <w:rsid w:val="528D6F88"/>
    <w:rsid w:val="52D76C38"/>
    <w:rsid w:val="53020393"/>
    <w:rsid w:val="53282072"/>
    <w:rsid w:val="53DF9880"/>
    <w:rsid w:val="543299B9"/>
    <w:rsid w:val="54921B32"/>
    <w:rsid w:val="54CCA573"/>
    <w:rsid w:val="54D52BAA"/>
    <w:rsid w:val="550C9D16"/>
    <w:rsid w:val="552AC545"/>
    <w:rsid w:val="55730FCC"/>
    <w:rsid w:val="557B68E1"/>
    <w:rsid w:val="55899EDA"/>
    <w:rsid w:val="5596B2D5"/>
    <w:rsid w:val="55A63B54"/>
    <w:rsid w:val="560DFDC0"/>
    <w:rsid w:val="56332314"/>
    <w:rsid w:val="563AAF04"/>
    <w:rsid w:val="568038E3"/>
    <w:rsid w:val="56BA6720"/>
    <w:rsid w:val="56C9342A"/>
    <w:rsid w:val="57B26B13"/>
    <w:rsid w:val="57DBA969"/>
    <w:rsid w:val="57EB23E3"/>
    <w:rsid w:val="583D5A17"/>
    <w:rsid w:val="5850D716"/>
    <w:rsid w:val="586B9050"/>
    <w:rsid w:val="586E4111"/>
    <w:rsid w:val="58B44734"/>
    <w:rsid w:val="58E7A9AD"/>
    <w:rsid w:val="58F66BE9"/>
    <w:rsid w:val="590D80E1"/>
    <w:rsid w:val="592B2F01"/>
    <w:rsid w:val="594CC714"/>
    <w:rsid w:val="59553FDE"/>
    <w:rsid w:val="595A56DF"/>
    <w:rsid w:val="5976F03D"/>
    <w:rsid w:val="598C2807"/>
    <w:rsid w:val="59A28CDD"/>
    <w:rsid w:val="59C064AE"/>
    <w:rsid w:val="59D241A2"/>
    <w:rsid w:val="5A0016B8"/>
    <w:rsid w:val="5A1A9E07"/>
    <w:rsid w:val="5A3E2789"/>
    <w:rsid w:val="5A5BE6E5"/>
    <w:rsid w:val="5A837A0E"/>
    <w:rsid w:val="5A99252D"/>
    <w:rsid w:val="5ADCBE82"/>
    <w:rsid w:val="5B4A5C36"/>
    <w:rsid w:val="5B60F04A"/>
    <w:rsid w:val="5B73CC94"/>
    <w:rsid w:val="5BC072A5"/>
    <w:rsid w:val="5BFA572A"/>
    <w:rsid w:val="5C166504"/>
    <w:rsid w:val="5C1F4A6F"/>
    <w:rsid w:val="5C3DA2B6"/>
    <w:rsid w:val="5C53D33F"/>
    <w:rsid w:val="5C637404"/>
    <w:rsid w:val="5CA5114D"/>
    <w:rsid w:val="5CA8916B"/>
    <w:rsid w:val="5CB2C552"/>
    <w:rsid w:val="5CB75CC6"/>
    <w:rsid w:val="5CB9664A"/>
    <w:rsid w:val="5CC6828C"/>
    <w:rsid w:val="5CDFA4DE"/>
    <w:rsid w:val="5D1882A7"/>
    <w:rsid w:val="5D3ED69C"/>
    <w:rsid w:val="5D61A119"/>
    <w:rsid w:val="5D61D87D"/>
    <w:rsid w:val="5DB4F8BA"/>
    <w:rsid w:val="5DCB7A4B"/>
    <w:rsid w:val="5E7B753F"/>
    <w:rsid w:val="5EC1AB18"/>
    <w:rsid w:val="5EE8CE00"/>
    <w:rsid w:val="5EEECB82"/>
    <w:rsid w:val="5F04A6D6"/>
    <w:rsid w:val="5F368C25"/>
    <w:rsid w:val="5F3BCA19"/>
    <w:rsid w:val="5F3D2EC6"/>
    <w:rsid w:val="5F6AF016"/>
    <w:rsid w:val="5F8B1FA9"/>
    <w:rsid w:val="5FA132F2"/>
    <w:rsid w:val="5FB398E2"/>
    <w:rsid w:val="5FD1585F"/>
    <w:rsid w:val="5FE5EBA8"/>
    <w:rsid w:val="5FEE037D"/>
    <w:rsid w:val="5FFE234E"/>
    <w:rsid w:val="60069BB9"/>
    <w:rsid w:val="6038D806"/>
    <w:rsid w:val="605E153A"/>
    <w:rsid w:val="606C4D2E"/>
    <w:rsid w:val="60712AFC"/>
    <w:rsid w:val="6093E3C8"/>
    <w:rsid w:val="60C193AA"/>
    <w:rsid w:val="612EEA25"/>
    <w:rsid w:val="618822D9"/>
    <w:rsid w:val="619E5CDE"/>
    <w:rsid w:val="61EC3CF0"/>
    <w:rsid w:val="61F94A39"/>
    <w:rsid w:val="6294991C"/>
    <w:rsid w:val="62A290D8"/>
    <w:rsid w:val="62ED7B76"/>
    <w:rsid w:val="6307F771"/>
    <w:rsid w:val="6335C410"/>
    <w:rsid w:val="637DF079"/>
    <w:rsid w:val="63820C3B"/>
    <w:rsid w:val="63B7BA40"/>
    <w:rsid w:val="63E34228"/>
    <w:rsid w:val="63E35823"/>
    <w:rsid w:val="63F20AF6"/>
    <w:rsid w:val="6418DED2"/>
    <w:rsid w:val="646E2453"/>
    <w:rsid w:val="648812ED"/>
    <w:rsid w:val="6496D5BE"/>
    <w:rsid w:val="649E72ED"/>
    <w:rsid w:val="64D22177"/>
    <w:rsid w:val="6590CC79"/>
    <w:rsid w:val="6632DBB3"/>
    <w:rsid w:val="66374A86"/>
    <w:rsid w:val="6652F760"/>
    <w:rsid w:val="6674403B"/>
    <w:rsid w:val="6674E439"/>
    <w:rsid w:val="6694F6B2"/>
    <w:rsid w:val="66A0B0B0"/>
    <w:rsid w:val="66BD2EE7"/>
    <w:rsid w:val="66E39589"/>
    <w:rsid w:val="66E7A565"/>
    <w:rsid w:val="66FA473A"/>
    <w:rsid w:val="67296D6D"/>
    <w:rsid w:val="6761FD16"/>
    <w:rsid w:val="6772504B"/>
    <w:rsid w:val="6786513D"/>
    <w:rsid w:val="67CE8BB3"/>
    <w:rsid w:val="67F6E83F"/>
    <w:rsid w:val="6807F7A2"/>
    <w:rsid w:val="6809C7D9"/>
    <w:rsid w:val="6832F232"/>
    <w:rsid w:val="6835BF6D"/>
    <w:rsid w:val="683D253F"/>
    <w:rsid w:val="6845919B"/>
    <w:rsid w:val="684CFD32"/>
    <w:rsid w:val="6861170E"/>
    <w:rsid w:val="689EFD0A"/>
    <w:rsid w:val="68B4E200"/>
    <w:rsid w:val="68E8F967"/>
    <w:rsid w:val="692B3622"/>
    <w:rsid w:val="69425BB3"/>
    <w:rsid w:val="69532467"/>
    <w:rsid w:val="695411DA"/>
    <w:rsid w:val="696DE514"/>
    <w:rsid w:val="6988966E"/>
    <w:rsid w:val="69E7EAF0"/>
    <w:rsid w:val="69FD1099"/>
    <w:rsid w:val="6A2DDDFE"/>
    <w:rsid w:val="6A673B58"/>
    <w:rsid w:val="6A6BB6F2"/>
    <w:rsid w:val="6B2E8901"/>
    <w:rsid w:val="6B59F847"/>
    <w:rsid w:val="6B8275AD"/>
    <w:rsid w:val="6BA26655"/>
    <w:rsid w:val="6BC2CC25"/>
    <w:rsid w:val="6BD18A60"/>
    <w:rsid w:val="6BE2B7BB"/>
    <w:rsid w:val="6BEEF933"/>
    <w:rsid w:val="6C8AC529"/>
    <w:rsid w:val="6CC7279C"/>
    <w:rsid w:val="6CEA08A0"/>
    <w:rsid w:val="6D0FC624"/>
    <w:rsid w:val="6D45AF36"/>
    <w:rsid w:val="6D54051B"/>
    <w:rsid w:val="6DC6791A"/>
    <w:rsid w:val="6DE87AFD"/>
    <w:rsid w:val="6E0C710E"/>
    <w:rsid w:val="6E29340E"/>
    <w:rsid w:val="6E5D4BB1"/>
    <w:rsid w:val="6E713E77"/>
    <w:rsid w:val="6EFA6CE7"/>
    <w:rsid w:val="6F09571F"/>
    <w:rsid w:val="6F3B7FCB"/>
    <w:rsid w:val="6F632CC8"/>
    <w:rsid w:val="6F6BDDAD"/>
    <w:rsid w:val="6F91F08B"/>
    <w:rsid w:val="6FBA565E"/>
    <w:rsid w:val="704B2142"/>
    <w:rsid w:val="708979C5"/>
    <w:rsid w:val="70B765A1"/>
    <w:rsid w:val="7196EF1C"/>
    <w:rsid w:val="71A86393"/>
    <w:rsid w:val="71ACA998"/>
    <w:rsid w:val="71E8C154"/>
    <w:rsid w:val="72196265"/>
    <w:rsid w:val="727A09DE"/>
    <w:rsid w:val="72D238E1"/>
    <w:rsid w:val="72DF9699"/>
    <w:rsid w:val="72E7FA55"/>
    <w:rsid w:val="734CBA02"/>
    <w:rsid w:val="7358FE15"/>
    <w:rsid w:val="736EBD1F"/>
    <w:rsid w:val="73CBE9A7"/>
    <w:rsid w:val="73E995DA"/>
    <w:rsid w:val="73ED44EE"/>
    <w:rsid w:val="74175CAA"/>
    <w:rsid w:val="7433F778"/>
    <w:rsid w:val="746B1FC0"/>
    <w:rsid w:val="74E60990"/>
    <w:rsid w:val="75027FEA"/>
    <w:rsid w:val="754F4F2C"/>
    <w:rsid w:val="7564A11E"/>
    <w:rsid w:val="75675CD1"/>
    <w:rsid w:val="75F086E6"/>
    <w:rsid w:val="762D691F"/>
    <w:rsid w:val="7637F153"/>
    <w:rsid w:val="766A603F"/>
    <w:rsid w:val="767C505C"/>
    <w:rsid w:val="768E2F31"/>
    <w:rsid w:val="76AFE90B"/>
    <w:rsid w:val="76D4908B"/>
    <w:rsid w:val="76EB73E5"/>
    <w:rsid w:val="77083852"/>
    <w:rsid w:val="7778A1D1"/>
    <w:rsid w:val="77D1D58E"/>
    <w:rsid w:val="78160626"/>
    <w:rsid w:val="78636C8F"/>
    <w:rsid w:val="786B603C"/>
    <w:rsid w:val="787060EC"/>
    <w:rsid w:val="78B0720F"/>
    <w:rsid w:val="78C13AC3"/>
    <w:rsid w:val="78C72C29"/>
    <w:rsid w:val="78D57E06"/>
    <w:rsid w:val="7956014C"/>
    <w:rsid w:val="799ABB64"/>
    <w:rsid w:val="79C99892"/>
    <w:rsid w:val="79FD29A6"/>
    <w:rsid w:val="7A0C314D"/>
    <w:rsid w:val="7A0D0DF8"/>
    <w:rsid w:val="7A43E2C7"/>
    <w:rsid w:val="7ACB15C1"/>
    <w:rsid w:val="7ACB4AD4"/>
    <w:rsid w:val="7AD9BB37"/>
    <w:rsid w:val="7AF1D1AD"/>
    <w:rsid w:val="7AF346F6"/>
    <w:rsid w:val="7B244DA9"/>
    <w:rsid w:val="7BA8DE59"/>
    <w:rsid w:val="7BBED7B9"/>
    <w:rsid w:val="7BEB514C"/>
    <w:rsid w:val="7C3DCC93"/>
    <w:rsid w:val="7C4637AF"/>
    <w:rsid w:val="7C87AD77"/>
    <w:rsid w:val="7CAF8D60"/>
    <w:rsid w:val="7CC21B77"/>
    <w:rsid w:val="7D042645"/>
    <w:rsid w:val="7D0919A7"/>
    <w:rsid w:val="7D1F52C2"/>
    <w:rsid w:val="7D42AB93"/>
    <w:rsid w:val="7D5EE563"/>
    <w:rsid w:val="7D7ABBC3"/>
    <w:rsid w:val="7D94ABE6"/>
    <w:rsid w:val="7DA384E4"/>
    <w:rsid w:val="7DB11385"/>
    <w:rsid w:val="7DCD64B6"/>
    <w:rsid w:val="7DDEE77D"/>
    <w:rsid w:val="7E86AC3F"/>
    <w:rsid w:val="7F42A19A"/>
    <w:rsid w:val="7F6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04B"/>
  <w15:chartTrackingRefBased/>
  <w15:docId w15:val="{251A0FC6-3470-44A9-A1CF-AAC095ED74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a81e8e3ab8b4fa1" /><Relationship Type="http://schemas.microsoft.com/office/2019/09/relationships/intelligence" Target="/word/intelligence.xml" Id="R2b2df67cfcef47d6" /><Relationship Type="http://schemas.openxmlformats.org/officeDocument/2006/relationships/hyperlink" Target="https://www.gov.uk/government/statistics/local-authority-revenue-expenditure-and-financing-england-2019-to-2020-individual-local-authority-data-outturn" TargetMode="External" Id="Rfbab27d8b5d54185" /><Relationship Type="http://schemas.openxmlformats.org/officeDocument/2006/relationships/hyperlink" Target="https://assets.ctfassets.net/6sxvmndnpn0s/6VxSonb4KGpSgjT9awfRrA/d03bc6e1eeb5c21c527941c15952510d/Cashing_in_-_How_a_shortage_of_social_housing_is_fuelling_a_multi-million-pound_temporary_accommodation_sector.pdf" TargetMode="External" Id="R003e13e6cea043b1" /><Relationship Type="http://schemas.openxmlformats.org/officeDocument/2006/relationships/hyperlink" Target="https://publications.parliament.uk/pa/cm201719/cmselect/cmpubacc/462/462.pdf" TargetMode="External" Id="Rb2f0c8ff1c5543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10" ma:contentTypeDescription="Create a new document." ma:contentTypeScope="" ma:versionID="7e80acff0e01627f8903067ae92f39a8">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b7492d482b80555f74cd21ada9ae0db1"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46D90-9B35-4D7C-A77D-C2E42F68840D}"/>
</file>

<file path=customXml/itemProps2.xml><?xml version="1.0" encoding="utf-8"?>
<ds:datastoreItem xmlns:ds="http://schemas.openxmlformats.org/officeDocument/2006/customXml" ds:itemID="{F809D7F1-1CD9-4300-8DF7-4F7CB26807F7}"/>
</file>

<file path=customXml/itemProps3.xml><?xml version="1.0" encoding="utf-8"?>
<ds:datastoreItem xmlns:ds="http://schemas.openxmlformats.org/officeDocument/2006/customXml" ds:itemID="{E5A2612C-766D-4D1F-B5B1-CC28687135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Naylor</dc:creator>
  <keywords/>
  <dc:description/>
  <lastModifiedBy>Lisa Naylor</lastModifiedBy>
  <dcterms:created xsi:type="dcterms:W3CDTF">2020-11-09T14:31:47.0000000Z</dcterms:created>
  <dcterms:modified xsi:type="dcterms:W3CDTF">2021-09-27T13:02:32.6860519Z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